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30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tbl>
      <w:tblPr>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06"/>
        <w:gridCol w:w="3306"/>
        <w:gridCol w:w="3306"/>
      </w:tblGrid>
      <w:tr>
        <w:trPr>
          <w:trHeight w:val="400" w:hRule="atLeast"/>
        </w:trPr>
        <w:tc>
          <w:tcPr>
            <w:tcW w:w="99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center"/>
              <w:rPr>
                <w:rFonts w:ascii="ＭＳ ゴシック" w:hAnsi="ＭＳ ゴシック" w:eastAsia="ＭＳ ゴシック"/>
              </w:rPr>
            </w:pPr>
            <w:r>
              <w:rPr>
                <w:rFonts w:ascii="ＭＳ ゴシック" w:hAnsi="ＭＳ ゴシック" w:eastAsia="ＭＳ ゴシック"/>
              </w:rPr>
              <w:t>認定権者記載欄</w:t>
            </w:r>
          </w:p>
        </w:tc>
      </w:tr>
      <w:tr>
        <w:trPr>
          <w:trHeight w:val="305" w:hRule="atLeast"/>
        </w:trPr>
        <w:tc>
          <w:tcPr>
            <w:tcW w:w="3306"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06"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r>
      <w:tr>
        <w:trPr>
          <w:trHeight w:val="154" w:hRule="atLeast"/>
        </w:trPr>
        <w:tc>
          <w:tcPr>
            <w:tcW w:w="3306"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tLeast" w:line="366"/>
              <w:jc w:val="left"/>
              <w:rPr>
                <w:rFonts w:ascii="ＭＳ ゴシック" w:hAnsi="ＭＳ ゴシック" w:eastAsia="ＭＳ ゴシック"/>
              </w:rPr>
            </w:pPr>
            <w:r>
              <w:rPr>
                <w:rFonts w:eastAsia="ＭＳ ゴシック" w:ascii="ＭＳ ゴシック" w:hAnsi="ＭＳ ゴシック"/>
              </w:rPr>
            </w:r>
          </w:p>
        </w:tc>
      </w:tr>
    </w:tbl>
    <w:p>
      <w:pPr>
        <w:pStyle w:val="Normal"/>
        <w:suppressAutoHyphens w:val="true"/>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様式第５－（ロ）－②</w:t>
      </w:r>
    </w:p>
    <w:tbl>
      <w:tblPr>
        <w:tblW w:w="10035" w:type="dxa"/>
        <w:jc w:val="left"/>
        <w:tblInd w:w="-60" w:type="dxa"/>
        <w:tblLayout w:type="fixed"/>
        <w:tblCellMar>
          <w:top w:w="0" w:type="dxa"/>
          <w:left w:w="52" w:type="dxa"/>
          <w:bottom w:w="0" w:type="dxa"/>
          <w:right w:w="52" w:type="dxa"/>
        </w:tblCellMar>
        <w:tblLook w:firstRow="0" w:noVBand="0" w:lastRow="0" w:firstColumn="0" w:lastColumn="0" w:noHBand="0" w:val="0000"/>
      </w:tblPr>
      <w:tblGrid>
        <w:gridCol w:w="10035"/>
      </w:tblGrid>
      <w:tr>
        <w:trPr/>
        <w:tc>
          <w:tcPr>
            <w:tcW w:w="10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jc w:val="center"/>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suppressAutoHyphens w:val="true"/>
              <w:overflowPunct w:val="true"/>
              <w:spacing w:lineRule="exact" w:line="240"/>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中小企業信用保険法第２条第５項第５号の規定による認定申請書（ロ－②）</w:t>
            </w:r>
          </w:p>
          <w:p>
            <w:pPr>
              <w:pStyle w:val="Normal"/>
              <w:widowControl w:val="false"/>
              <w:suppressAutoHyphens w:val="true"/>
              <w:overflowPunct w:val="true"/>
              <w:spacing w:lineRule="exact"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ind w:right="695" w:hanging="0"/>
              <w:jc w:val="righ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uppressAutoHyphens w:val="true"/>
              <w:overflowPunct w:val="true"/>
              <w:spacing w:lineRule="exact"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糸魚川市長 様</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uppressAutoHyphens w:val="true"/>
              <w:overflowPunct w:val="tru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ind w:right="487"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Closing"/>
              <w:widowControl w:val="false"/>
              <w:jc w:val="left"/>
              <w:rPr/>
            </w:pPr>
            <w:r>
              <w:rPr/>
              <w:t>（表</w:t>
            </w:r>
            <w:r>
              <w:rPr/>
              <w:t>)</w:t>
            </w:r>
          </w:p>
          <w:tbl>
            <w:tblPr>
              <w:tblW w:w="97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64"/>
              <w:gridCol w:w="3264"/>
              <w:gridCol w:w="3265"/>
            </w:tblGrid>
            <w:tr>
              <w:trPr>
                <w:trHeight w:val="366" w:hRule="atLeast"/>
              </w:trPr>
              <w:tc>
                <w:tcPr>
                  <w:tcW w:w="3264" w:type="dxa"/>
                  <w:tcBorders>
                    <w:top w:val="single" w:sz="24" w:space="0" w:color="000000"/>
                    <w:left w:val="single" w:sz="24" w:space="0" w:color="000000"/>
                    <w:bottom w:val="single" w:sz="24" w:space="0" w:color="000000"/>
                    <w:right w:val="single" w:sz="24" w:space="0" w:color="000000"/>
                  </w:tcBorders>
                </w:tcPr>
                <w:p>
                  <w:pPr>
                    <w:pStyle w:val="Normal"/>
                    <w:widowControl w:val="false"/>
                    <w:suppressAutoHyphens w:val="true"/>
                    <w:overflowPunct w:val="true"/>
                    <w:spacing w:lineRule="atLeast" w:line="274"/>
                    <w:ind w:left="182" w:hanging="0"/>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4" w:type="dxa"/>
                  <w:tcBorders>
                    <w:top w:val="single" w:sz="4" w:space="0" w:color="000000"/>
                    <w:left w:val="single" w:sz="24" w:space="0" w:color="000000"/>
                    <w:bottom w:val="single" w:sz="4" w:space="0" w:color="000000"/>
                    <w:right w:val="single" w:sz="4" w:space="0" w:color="000000"/>
                  </w:tcBorders>
                </w:tcPr>
                <w:p>
                  <w:pPr>
                    <w:pStyle w:val="Normal"/>
                    <w:widowControl w:val="false"/>
                    <w:suppressAutoHyphens w:val="true"/>
                    <w:overflowPunct w:val="true"/>
                    <w:spacing w:lineRule="atLeast" w:line="274"/>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1" w:hRule="atLeast"/>
              </w:trPr>
              <w:tc>
                <w:tcPr>
                  <w:tcW w:w="3264" w:type="dxa"/>
                  <w:tcBorders>
                    <w:top w:val="single" w:sz="2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2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atLeast" w:line="274"/>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w:t>
            </w:r>
            <w:r>
              <w:rPr>
                <w:rFonts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Normal"/>
              <w:widowControl w:val="false"/>
              <w:suppressAutoHyphens w:val="true"/>
              <w:overflowPunct w:val="true"/>
              <w:spacing w:lineRule="auto" w:line="60"/>
              <w:ind w:right="487"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uppressAutoHyphens w:val="true"/>
              <w:overflowPunct w:val="true"/>
              <w:spacing w:lineRule="exact" w:line="240"/>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uppressAutoHyphens w:val="true"/>
              <w:overflowPunct w:val="true"/>
              <w:spacing w:lineRule="exact" w:line="120"/>
              <w:jc w:val="left"/>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spacing w:val="16"/>
                <w:kern w:val="0"/>
                <w:lang w:eastAsia="zh-TW"/>
              </w:rPr>
              <w:t>事業開始年月日　　　　　　　　　　　　　　　　　　　　　　</w:t>
            </w:r>
            <w:r>
              <w:rPr>
                <w:rFonts w:ascii="ＭＳ ゴシック" w:hAnsi="ＭＳ ゴシック" w:eastAsia="ＭＳ ゴシック"/>
                <w:color w:val="000000"/>
                <w:spacing w:val="16"/>
                <w:kern w:val="0"/>
                <w:u w:val="single"/>
                <w:lang w:eastAsia="zh-TW"/>
              </w:rPr>
              <w:t>　　　年　　　月　　　日</w:t>
            </w:r>
          </w:p>
          <w:p>
            <w:pPr>
              <w:pStyle w:val="ListParagraph"/>
              <w:widowControl w:val="false"/>
              <w:numPr>
                <w:ilvl w:val="0"/>
                <w:numId w:val="2"/>
              </w:numPr>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原油等の仕入単価の上昇（注２）</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xml:space="preserve"> </w:t>
            </w:r>
            <w:r>
              <w:rPr>
                <w:rFonts w:ascii="ＭＳ ゴシック" w:hAnsi="ＭＳ ゴシック" w:eastAsia="ＭＳ ゴシック"/>
                <w:color w:val="000000"/>
                <w:kern w:val="0"/>
                <w:u w:val="single" w:color="000000"/>
              </w:rPr>
              <w:t xml:space="preserve">Ｅ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指定業種に係る上昇率</w:t>
            </w:r>
            <w:r>
              <w:rPr>
                <w:rFonts w:eastAsia="ＭＳ ゴシック" w:ascii="ＭＳ ゴシック" w:hAnsi="ＭＳ ゴシック"/>
                <w:color w:val="000000"/>
                <w:kern w:val="0"/>
                <w:u w:val="single"/>
              </w:rPr>
              <w:softHyphen/>
              <w:softHyphen/>
            </w:r>
            <w:r>
              <w:rPr>
                <w:rFonts w:ascii="ＭＳ ゴシック" w:hAnsi="ＭＳ ゴシック" w:eastAsia="ＭＳ ゴシック"/>
                <w:color w:val="000000"/>
                <w:kern w:val="0"/>
                <w:u w:val="single"/>
              </w:rPr>
              <w:t>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ｅ  </w:t>
            </w:r>
            <w:r>
              <w:rPr>
                <w:rFonts w:eastAsia="ＭＳ ゴシック" w:ascii="ＭＳ ゴシック" w:hAnsi="ＭＳ ゴシック"/>
                <w:color w:val="000000"/>
                <w:kern w:val="0"/>
              </w:rPr>
              <w:t>×100</w:t>
            </w:r>
            <w:r>
              <w:rPr>
                <w:rFonts w:ascii="ＭＳ ゴシック" w:hAnsi="ＭＳ ゴシック" w:eastAsia="ＭＳ ゴシック"/>
                <w:color w:val="000000"/>
                <w:kern w:val="0"/>
              </w:rPr>
              <w:t>－</w:t>
            </w:r>
            <w:r>
              <w:rPr>
                <w:rFonts w:eastAsia="ＭＳ ゴシック" w:ascii="ＭＳ ゴシック" w:hAnsi="ＭＳ ゴシック"/>
                <w:color w:val="000000"/>
                <w:kern w:val="0"/>
              </w:rPr>
              <w:t>100</w:t>
            </w:r>
            <w:r>
              <w:rPr>
                <w:rFonts w:ascii="ＭＳ ゴシック" w:hAnsi="ＭＳ ゴシック" w:eastAsia="ＭＳ ゴシック"/>
                <w:color w:val="000000"/>
                <w:kern w:val="0"/>
              </w:rPr>
              <w:t>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Ｅ：原油等の最近１か月間における平均仕入れ単価</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spacing w:val="16"/>
                <w:kern w:val="0"/>
                <w:u w:val="single"/>
              </w:rPr>
              <w:t>指定業種に係る平均仕入単価　　　円</w:t>
            </w:r>
          </w:p>
          <w:p>
            <w:pPr>
              <w:pStyle w:val="Normal"/>
              <w:widowControl w:val="false"/>
              <w:suppressAutoHyphens w:val="true"/>
              <w:overflowPunct w:val="true"/>
              <w:spacing w:lineRule="exact" w:line="240"/>
              <w:ind w:left="63" w:firstLine="605"/>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xml:space="preserve">（　　　年　　　月）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ｅ：Ｅの期間に対応する前年１か月間の平均仕入れ単価</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spacing w:val="16"/>
                <w:kern w:val="0"/>
                <w:u w:val="single"/>
              </w:rPr>
              <w:t>指定業種に係る平均仕入単価 　 　円</w:t>
            </w:r>
          </w:p>
          <w:p>
            <w:pPr>
              <w:pStyle w:val="Normal"/>
              <w:widowControl w:val="false"/>
              <w:suppressAutoHyphens w:val="true"/>
              <w:overflowPunct w:val="true"/>
              <w:spacing w:lineRule="exact" w:line="240"/>
              <w:ind w:firstLine="605"/>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xml:space="preserve">（　　　年　　　月）                     </w:t>
            </w:r>
          </w:p>
          <w:p>
            <w:pPr>
              <w:pStyle w:val="ListParagraph"/>
              <w:widowControl w:val="false"/>
              <w:numPr>
                <w:ilvl w:val="0"/>
                <w:numId w:val="2"/>
              </w:numPr>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原油等が売上原価に占める割合（注２）</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Ｓ</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指定業種に係る依存率</w:t>
            </w:r>
            <w:r>
              <w:rPr>
                <w:rFonts w:ascii="ＭＳ ゴシック" w:hAnsi="ＭＳ ゴシック" w:eastAsia="ＭＳ ゴシック"/>
                <w:color w:val="000000"/>
                <w:kern w:val="0"/>
                <w:u w:val="single" w:color="000000"/>
              </w:rPr>
              <w:t>　　　　　　　　％</w:t>
            </w:r>
          </w:p>
          <w:p>
            <w:pPr>
              <w:pStyle w:val="Normal"/>
              <w:widowControl w:val="false"/>
              <w:suppressAutoHyphens w:val="true"/>
              <w:overflowPunct w:val="true"/>
              <w:spacing w:lineRule="exact" w:line="240"/>
              <w:ind w:left="182" w:hanging="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Ｃ   </w:t>
            </w:r>
            <w:r>
              <w:rPr>
                <w:rFonts w:eastAsia="ＭＳ ゴシック" w:ascii="ＭＳ ゴシック" w:hAnsi="ＭＳ ゴシック"/>
                <w:color w:val="000000"/>
                <w:kern w:val="0"/>
              </w:rPr>
              <w:t xml:space="preserve">×100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全体に係る依存率</w:t>
            </w:r>
            <w:r>
              <w:rPr>
                <w:rFonts w:ascii="ＭＳ ゴシック" w:hAnsi="ＭＳ ゴシック" w:eastAsia="ＭＳ ゴシック"/>
                <w:color w:val="000000"/>
                <w:kern w:val="0"/>
                <w:u w:val="single" w:color="000000"/>
              </w:rPr>
              <w:t>　　　　 　　       ％</w:t>
            </w:r>
          </w:p>
          <w:p>
            <w:pPr>
              <w:pStyle w:val="Normal"/>
              <w:widowControl w:val="false"/>
              <w:suppressAutoHyphens w:val="true"/>
              <w:overflowPunct w:val="true"/>
              <w:spacing w:lineRule="exact" w:line="240"/>
              <w:ind w:left="182"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最近１か月間における全体の売上原価に占める指定業種の売上原価の割合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Ｃ：最近１か月の売上原価</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spacing w:val="16"/>
                <w:kern w:val="0"/>
                <w:u w:val="single"/>
              </w:rPr>
              <w:t xml:space="preserve">指定業種に係る売上原価 </w:t>
            </w:r>
            <w:r>
              <w:rPr>
                <w:rFonts w:ascii="ＭＳ ゴシック" w:hAnsi="ＭＳ ゴシック" w:eastAsia="ＭＳ ゴシック"/>
                <w:color w:val="000000"/>
                <w:kern w:val="0"/>
                <w:u w:val="single" w:color="000000"/>
              </w:rPr>
              <w:t>　　　　　　　円</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　　　年　　　月）　　　　　　　　　　　　 </w:t>
            </w:r>
            <w:r>
              <w:rPr>
                <w:rFonts w:ascii="ＭＳ ゴシック" w:hAnsi="ＭＳ ゴシック" w:eastAsia="ＭＳ ゴシック"/>
                <w:color w:val="000000"/>
                <w:kern w:val="0"/>
                <w:u w:val="single"/>
              </w:rPr>
              <w:t>全体にかかる売上原価</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Ｓ：Ｃの売上原価に対応する原油等の仕入額</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spacing w:val="16"/>
                <w:kern w:val="0"/>
                <w:u w:val="single"/>
              </w:rPr>
              <w:t>指定業種に係る仕入額</w:t>
            </w:r>
            <w:r>
              <w:rPr>
                <w:rFonts w:ascii="ＭＳ ゴシック" w:hAnsi="ＭＳ ゴシック" w:eastAsia="ＭＳ ゴシック"/>
                <w:color w:val="000000"/>
                <w:kern w:val="0"/>
                <w:u w:val="single" w:color="000000"/>
              </w:rPr>
              <w:t>　　　　  　 　　 円</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全体に係る仕入額</w:t>
            </w:r>
            <w:r>
              <w:rPr>
                <w:rFonts w:ascii="ＭＳ ゴシック" w:hAnsi="ＭＳ ゴシック" w:eastAsia="ＭＳ ゴシック"/>
                <w:color w:val="000000"/>
                <w:kern w:val="0"/>
                <w:u w:val="single" w:color="000000"/>
              </w:rPr>
              <w:t>　　　　　　　　　　　　 円</w:t>
            </w:r>
          </w:p>
          <w:p>
            <w:pPr>
              <w:pStyle w:val="ListParagraph"/>
              <w:widowControl w:val="false"/>
              <w:numPr>
                <w:ilvl w:val="0"/>
                <w:numId w:val="2"/>
              </w:numPr>
              <w:suppressAutoHyphens w:val="true"/>
              <w:overflowPunct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製品等価格への転嫁の状況（注３）</w:t>
            </w:r>
          </w:p>
          <w:p>
            <w:pPr>
              <w:pStyle w:val="Normal"/>
              <w:widowControl w:val="false"/>
              <w:tabs>
                <w:tab w:val="clear" w:pos="840"/>
                <w:tab w:val="center" w:pos="4252" w:leader="none"/>
                <w:tab w:val="right" w:pos="8504" w:leader="none"/>
              </w:tabs>
              <w:suppressAutoHyphens w:val="true"/>
              <w:overflowPunct w:val="true"/>
              <w:snapToGrid w:val="false"/>
              <w:spacing w:lineRule="exact" w:line="230"/>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xml:space="preserve"> </w:t>
            </w:r>
            <w:r>
              <w:rPr>
                <w:rFonts w:ascii="ＭＳ ゴシック" w:hAnsi="ＭＳ ゴシック" w:eastAsia="ＭＳ ゴシック"/>
                <w:color w:val="000000"/>
                <w:kern w:val="0"/>
                <w:u w:val="single" w:color="000000"/>
              </w:rPr>
              <w:t xml:space="preserve">Ａ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color="000000"/>
              </w:rPr>
              <w:t xml:space="preserve"> ａ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指定業種に係る転嫁の状況　Ｐ＝　  　　　</w:t>
            </w:r>
          </w:p>
          <w:p>
            <w:pPr>
              <w:pStyle w:val="Normal"/>
              <w:widowControl w:val="false"/>
              <w:suppressAutoHyphens w:val="true"/>
              <w:overflowPunct w:val="true"/>
              <w:spacing w:lineRule="exact" w:line="230"/>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Ｂ　　    ｂ  　＝Ｐ   　　　　　　        </w:t>
            </w:r>
            <w:r>
              <w:rPr>
                <w:rFonts w:ascii="ＭＳ ゴシック" w:hAnsi="ＭＳ ゴシック" w:eastAsia="ＭＳ ゴシック"/>
                <w:color w:val="000000"/>
                <w:kern w:val="0"/>
                <w:u w:val="single"/>
              </w:rPr>
              <w:t>全体に係る転嫁の状況</w:t>
            </w:r>
            <w:r>
              <w:rPr>
                <w:rFonts w:ascii="ＭＳ ゴシック" w:hAnsi="ＭＳ ゴシック" w:eastAsia="ＭＳ ゴシック"/>
                <w:color w:val="000000"/>
                <w:kern w:val="0"/>
                <w:u w:val="single" w:color="000000"/>
              </w:rPr>
              <w:t>　Ｐ＝ 　　　　　 　</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Ａ：最近３か月間の原油等の仕入額</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spacing w:val="16"/>
                <w:kern w:val="0"/>
                <w:u w:val="single"/>
              </w:rPr>
              <w:t xml:space="preserve">指定業種に係る仕入額           </w:t>
            </w:r>
            <w:r>
              <w:rPr>
                <w:rFonts w:ascii="ＭＳ ゴシック" w:hAnsi="ＭＳ ゴシック" w:eastAsia="ＭＳ ゴシック"/>
                <w:color w:val="000000"/>
                <w:kern w:val="0"/>
                <w:u w:val="single" w:color="000000"/>
              </w:rPr>
              <w:t>円</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　　　年　　　月　　～　　　年　　　月）　　　</w:t>
            </w:r>
            <w:r>
              <w:rPr>
                <w:rFonts w:ascii="ＭＳ ゴシック" w:hAnsi="ＭＳ ゴシック" w:eastAsia="ＭＳ ゴシック"/>
                <w:color w:val="000000"/>
                <w:kern w:val="0"/>
                <w:u w:val="single"/>
              </w:rPr>
              <w:t>全体に係る仕入額　</w:t>
            </w:r>
            <w:r>
              <w:rPr>
                <w:rFonts w:ascii="ＭＳ ゴシック" w:hAnsi="ＭＳ ゴシック" w:eastAsia="ＭＳ ゴシック"/>
                <w:color w:val="000000"/>
                <w:kern w:val="0"/>
                <w:u w:val="single" w:color="000000"/>
              </w:rPr>
              <w:t>　　  　　　　　　　円</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ａ：Ａの期間に対応する前年３か月間の原油等の仕入額　</w:t>
            </w:r>
            <w:r>
              <w:rPr>
                <w:rFonts w:ascii="ＭＳ ゴシック" w:hAnsi="ＭＳ ゴシック" w:eastAsia="ＭＳ ゴシック"/>
                <w:color w:val="000000"/>
                <w:spacing w:val="16"/>
                <w:kern w:val="0"/>
                <w:u w:val="single"/>
              </w:rPr>
              <w:t xml:space="preserve">指定業種に係る仕入額　   </w:t>
            </w:r>
            <w:r>
              <w:rPr>
                <w:rFonts w:ascii="ＭＳ ゴシック" w:hAnsi="ＭＳ ゴシック" w:eastAsia="ＭＳ ゴシック"/>
                <w:color w:val="000000"/>
                <w:kern w:val="0"/>
                <w:u w:val="single" w:color="000000"/>
              </w:rPr>
              <w:t xml:space="preserve">  　  　 円</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　　　年　　　月　　～　　　年　　　月）　　　</w:t>
            </w:r>
            <w:r>
              <w:rPr>
                <w:rFonts w:ascii="ＭＳ ゴシック" w:hAnsi="ＭＳ ゴシック" w:eastAsia="ＭＳ ゴシック"/>
                <w:color w:val="000000"/>
                <w:kern w:val="0"/>
                <w:u w:val="single"/>
              </w:rPr>
              <w:t>全体に係る仕入額　　　　  　　　　  　円</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Ｂ：最近３か月間の売上高</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u w:val="single" w:color="000000"/>
              </w:rPr>
              <w:t>指定業種に係る売上高　　　    　　　  円</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　　　年　　　月　　～　　　年　　　月）　　　</w:t>
            </w:r>
            <w:r>
              <w:rPr>
                <w:rFonts w:ascii="ＭＳ ゴシック" w:hAnsi="ＭＳ ゴシック" w:eastAsia="ＭＳ ゴシック"/>
                <w:color w:val="000000"/>
                <w:kern w:val="0"/>
                <w:u w:val="single"/>
              </w:rPr>
              <w:t>全体に係る売上高　　　　　　　　  　　円</w:t>
            </w:r>
          </w:p>
          <w:p>
            <w:pPr>
              <w:pStyle w:val="Normal"/>
              <w:widowControl w:val="false"/>
              <w:suppressAutoHyphens w:val="true"/>
              <w:overflowPunct w:val="true"/>
              <w:spacing w:lineRule="exact" w:line="24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ｂ：Ｂの期間に対応する前年３か月間の売上高</w:t>
            </w: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spacing w:val="16"/>
                <w:kern w:val="0"/>
                <w:u w:val="single"/>
              </w:rPr>
              <w:t>指定業種に係る売上高</w:t>
            </w:r>
            <w:r>
              <w:rPr>
                <w:rFonts w:ascii="ＭＳ ゴシック" w:hAnsi="ＭＳ ゴシック" w:eastAsia="ＭＳ ゴシック"/>
                <w:color w:val="000000"/>
                <w:kern w:val="0"/>
                <w:u w:val="single" w:color="000000"/>
              </w:rPr>
              <w:t xml:space="preserve">               円</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　　　年　　　月　　～　　　年　　　月）　　　</w:t>
            </w:r>
            <w:r>
              <w:rPr>
                <w:rFonts w:ascii="ＭＳ ゴシック" w:hAnsi="ＭＳ ゴシック" w:eastAsia="ＭＳ ゴシック"/>
                <w:color w:val="000000"/>
                <w:kern w:val="0"/>
                <w:u w:val="single"/>
              </w:rPr>
              <w:t>全体に係る売上高　</w:t>
            </w:r>
            <w:r>
              <w:rPr>
                <w:rFonts w:ascii="ＭＳ ゴシック" w:hAnsi="ＭＳ ゴシック" w:eastAsia="ＭＳ ゴシック"/>
                <w:color w:val="000000"/>
                <w:kern w:val="0"/>
                <w:u w:val="single" w:color="000000"/>
              </w:rPr>
              <w:t>　　　　　　　　  　円</w:t>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kern w:val="0"/>
                <w:u w:val="single" w:color="000000"/>
              </w:rPr>
            </w:pPr>
            <w:r>
              <w:rPr>
                <w:rFonts w:eastAsia="ＭＳ ゴシック" w:ascii="ＭＳ ゴシック" w:hAnsi="ＭＳ ゴシック"/>
                <w:color w:val="000000"/>
                <w:kern w:val="0"/>
                <w:u w:val="single" w:color="000000"/>
              </w:rPr>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kern w:val="0"/>
                <w:u w:val="single" w:color="000000"/>
              </w:rPr>
            </w:pPr>
            <w:r>
              <w:rPr>
                <w:rFonts w:eastAsia="ＭＳ ゴシック" w:ascii="ＭＳ ゴシック" w:hAnsi="ＭＳ ゴシック"/>
                <w:color w:val="000000"/>
                <w:kern w:val="0"/>
                <w:u w:val="single" w:color="000000"/>
              </w:rPr>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kern w:val="0"/>
                <w:u w:val="single" w:color="000000"/>
              </w:rPr>
            </w:pPr>
            <w:r>
              <w:rPr>
                <w:rFonts w:eastAsia="ＭＳ ゴシック" w:ascii="ＭＳ ゴシック" w:hAnsi="ＭＳ ゴシック"/>
                <w:color w:val="000000"/>
                <w:kern w:val="0"/>
                <w:u w:val="single" w:color="000000"/>
              </w:rPr>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kern w:val="0"/>
                <w:u w:val="single" w:color="000000"/>
              </w:rPr>
            </w:pPr>
            <w:r>
              <w:rPr>
                <w:rFonts w:eastAsia="ＭＳ ゴシック" w:ascii="ＭＳ ゴシック" w:hAnsi="ＭＳ ゴシック"/>
                <w:color w:val="000000"/>
                <w:kern w:val="0"/>
                <w:u w:val="single" w:color="000000"/>
              </w:rPr>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kern w:val="0"/>
                <w:u w:val="single" w:color="000000"/>
              </w:rPr>
            </w:pPr>
            <w:r>
              <w:rPr>
                <w:rFonts w:eastAsia="ＭＳ ゴシック" w:ascii="ＭＳ ゴシック" w:hAnsi="ＭＳ ゴシック"/>
                <w:color w:val="000000"/>
                <w:kern w:val="0"/>
                <w:u w:val="single" w:color="000000"/>
              </w:rPr>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uppressAutoHyphens w:val="true"/>
              <w:overflowPunct w:val="tru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uppressAutoHyphens w:val="true"/>
              <w:overflowPunct w:val="tru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uppressAutoHyphens w:val="true"/>
              <w:overflowPunct w:val="tru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suppressAutoHyphens w:val="true"/>
              <w:overflowPunct w:val="tru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tabs>
                <w:tab w:val="clear" w:pos="840"/>
                <w:tab w:val="center" w:pos="4252" w:leader="none"/>
                <w:tab w:val="right" w:pos="8504" w:leader="none"/>
              </w:tabs>
              <w:suppressAutoHyphens w:val="true"/>
              <w:overflowPunct w:val="true"/>
              <w:snapToGrid w:val="fals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uppressAutoHyphens w:val="true"/>
        <w:spacing w:lineRule="exact" w:line="240"/>
        <w:ind w:left="840" w:hanging="84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（注１）本様式は、指定業種と非指定業種を兼業している場合であって、指定業種及び申請者全体の双方が認定基準を満たす場合に使用する。</w:t>
      </w:r>
    </w:p>
    <w:p>
      <w:pPr>
        <w:pStyle w:val="Normal"/>
        <w:suppressAutoHyphens w:val="true"/>
        <w:spacing w:lineRule="exact" w:line="240"/>
        <w:ind w:left="840" w:hanging="84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（注２）上昇率、依存率及び最近１か月間における全体の売上原価に占める指定業種の売上原価の割合が２０％以上となっていること。</w:t>
      </w:r>
    </w:p>
    <w:p>
      <w:pPr>
        <w:pStyle w:val="Normal"/>
        <w:suppressAutoHyphens w:val="true"/>
        <w:spacing w:lineRule="exact" w:line="240"/>
        <w:ind w:left="182" w:hanging="862"/>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spacing w:val="16"/>
          <w:kern w:val="0"/>
        </w:rPr>
        <w:t xml:space="preserve">　   </w:t>
      </w:r>
      <w:r>
        <w:rPr>
          <w:rFonts w:ascii="ＭＳ ゴシック" w:hAnsi="ＭＳ ゴシック" w:eastAsia="ＭＳ ゴシック"/>
          <w:color w:val="000000"/>
          <w:kern w:val="0"/>
        </w:rPr>
        <w:t>（注３）Ｐ＞０となっていること。</w:t>
      </w:r>
    </w:p>
    <w:p>
      <w:pPr>
        <w:pStyle w:val="Normal"/>
        <w:suppressAutoHyphens w:val="true"/>
        <w:spacing w:lineRule="exact" w:line="240"/>
        <w:ind w:left="1230" w:hanging="123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（留意事項）</w:t>
      </w:r>
    </w:p>
    <w:p>
      <w:pPr>
        <w:pStyle w:val="ListParagraph"/>
        <w:numPr>
          <w:ilvl w:val="0"/>
          <w:numId w:val="1"/>
        </w:numPr>
        <w:suppressAutoHyphens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本認定とは別に、金融機関及び信用保証協会による金融上の審査があります。</w:t>
      </w:r>
    </w:p>
    <w:p>
      <w:pPr>
        <w:pStyle w:val="ListParagraph"/>
        <w:numPr>
          <w:ilvl w:val="0"/>
          <w:numId w:val="1"/>
        </w:numPr>
        <w:suppressAutoHyphens w:val="tru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rPr>
        <w:t>市町村長又は特別区長から認定を受けた日から３０日以内に金融機関又は信用保証協会に対して、保証の申込みを行うことが必要です。</w:t>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suppressAutoHyphens w:val="true"/>
        <w:spacing w:lineRule="exact" w:line="240"/>
        <w:jc w:val="left"/>
        <w:textAlignment w:val="baseline"/>
        <w:rPr>
          <w:rFonts w:ascii="ＭＳ ゴシック" w:hAnsi="ＭＳ ゴシック" w:eastAsia="ＭＳ ゴシック"/>
          <w:color w:val="000000"/>
          <w:spacing w:val="16"/>
          <w:kern w:val="0"/>
        </w:rPr>
      </w:pPr>
      <w:r>
        <w:rPr/>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rFonts w:ascii="ＭＳ ゴシック" w:hAnsi="ＭＳ ゴシック" w:eastAsia="ＭＳ ゴシック" w:cs="Times New Roman"/>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decimalEnclosedCircle"/>
      <w:lvlText w:val="%1"/>
      <w:lvlJc w:val="left"/>
      <w:pPr>
        <w:tabs>
          <w:tab w:val="num" w:pos="0"/>
        </w:tabs>
        <w:ind w:left="360" w:hanging="360"/>
      </w:pPr>
      <w:rPr/>
    </w:lvl>
    <w:lvl w:ilvl="1">
      <w:start w:val="1"/>
      <w:numFmt w:val="aiueoFullWidth"/>
      <w:lvlText w:val="(%2)"/>
      <w:lvlJc w:val="left"/>
      <w:pPr>
        <w:tabs>
          <w:tab w:val="num" w:pos="0"/>
        </w:tabs>
        <w:ind w:left="880" w:hanging="440"/>
      </w:pPr>
      <w:rPr/>
    </w:lvl>
    <w:lvl w:ilvl="2">
      <w:start w:val="1"/>
      <w:numFmt w:val="decimalEnclosedCircle"/>
      <w:lvlText w:val="%3"/>
      <w:lvlJc w:val="left"/>
      <w:pPr>
        <w:tabs>
          <w:tab w:val="num" w:pos="0"/>
        </w:tabs>
        <w:ind w:left="1320" w:hanging="440"/>
      </w:pPr>
      <w:rPr/>
    </w:lvl>
    <w:lvl w:ilvl="3">
      <w:start w:val="1"/>
      <w:numFmt w:val="decimal"/>
      <w:lvlText w:val="%4."/>
      <w:lvlJc w:val="left"/>
      <w:pPr>
        <w:tabs>
          <w:tab w:val="num" w:pos="0"/>
        </w:tabs>
        <w:ind w:left="1760" w:hanging="440"/>
      </w:pPr>
      <w:rPr/>
    </w:lvl>
    <w:lvl w:ilvl="4">
      <w:start w:val="1"/>
      <w:numFmt w:val="aiueoFullWidth"/>
      <w:lvlText w:val="(%5)"/>
      <w:lvlJc w:val="left"/>
      <w:pPr>
        <w:tabs>
          <w:tab w:val="num" w:pos="0"/>
        </w:tabs>
        <w:ind w:left="2200" w:hanging="440"/>
      </w:pPr>
      <w:rPr/>
    </w:lvl>
    <w:lvl w:ilvl="5">
      <w:start w:val="1"/>
      <w:numFmt w:val="decimalEnclosedCircle"/>
      <w:lvlText w:val="%6"/>
      <w:lvlJc w:val="left"/>
      <w:pPr>
        <w:tabs>
          <w:tab w:val="num" w:pos="0"/>
        </w:tabs>
        <w:ind w:left="2640" w:hanging="440"/>
      </w:pPr>
      <w:rPr/>
    </w:lvl>
    <w:lvl w:ilvl="6">
      <w:start w:val="1"/>
      <w:numFmt w:val="decimal"/>
      <w:lvlText w:val="%7."/>
      <w:lvlJc w:val="left"/>
      <w:pPr>
        <w:tabs>
          <w:tab w:val="num" w:pos="0"/>
        </w:tabs>
        <w:ind w:left="3080" w:hanging="440"/>
      </w:pPr>
      <w:rPr/>
    </w:lvl>
    <w:lvl w:ilvl="7">
      <w:start w:val="1"/>
      <w:numFmt w:val="aiueoFullWidth"/>
      <w:lvlText w:val="(%8)"/>
      <w:lvlJc w:val="left"/>
      <w:pPr>
        <w:tabs>
          <w:tab w:val="num" w:pos="0"/>
        </w:tabs>
        <w:ind w:left="3520" w:hanging="440"/>
      </w:pPr>
      <w:rPr/>
    </w:lvl>
    <w:lvl w:ilvl="8">
      <w:start w:val="1"/>
      <w:numFmt w:val="decimalEnclosedCircle"/>
      <w:lvlText w:val="%9"/>
      <w:lvlJc w:val="left"/>
      <w:pPr>
        <w:tabs>
          <w:tab w:val="num" w:pos="0"/>
        </w:tabs>
        <w:ind w:left="3960" w:hanging="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name w:val="脚注番号"/>
    <w:basedOn w:val="DefaultParagraphFont"/>
    <w:semiHidden/>
    <w:qFormat/>
    <w:rsid w:val="000f6d83"/>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0D41E-CDE8-40D9-803F-3BE2EEB4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2</Pages>
  <Words>1136</Words>
  <Characters>1144</Characters>
  <CharactersWithSpaces>2078</CharactersWithSpaces>
  <Paragraphs>52</Paragraphs>
  <Company>METI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2025-07-10T10:57:59Z</dcterms:created>
  <dc:creator/>
  <dc:description/>
  <dc:language>ja-JP</dc:language>
  <cp:lastModifiedBy/>
  <dcterms:modified xsi:type="dcterms:W3CDTF">2025-07-10T10:58:02Z</dcterms:modified>
  <cp:revision>2</cp:revision>
  <dc:subject/>
  <dc:title>181128_ＳＮ照会回答事例集（案）ｒｒ.docx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