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3343"/>
        <w:gridCol w:w="2949"/>
      </w:tblGrid>
      <w:tr>
        <w:trPr>
          <w:trHeight w:val="400" w:hRule="atLeast"/>
        </w:trPr>
        <w:tc>
          <w:tcPr>
            <w:tcW w:w="96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238" w:hRule="atLeast"/>
        </w:trPr>
        <w:tc>
          <w:tcPr>
            <w:tcW w:w="3342"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r>
      <w:tr>
        <w:trPr>
          <w:trHeight w:val="273" w:hRule="atLeast"/>
        </w:trPr>
        <w:tc>
          <w:tcPr>
            <w:tcW w:w="3342"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r>
    </w:tbl>
    <w:p>
      <w:pPr>
        <w:pStyle w:val="Normal"/>
        <w:suppressAutoHyphens w:val="true"/>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様式第５－（ハ）－①</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rHeight w:val="7467" w:hRule="atLeast"/>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firstLine="1260"/>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中小企業信用保険法第２条第５項第５号の規定による認定申請書（ハ－①）</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right="566"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私は、表に記載する業を営んでいるが、下記のとおり、</w:t>
            </w:r>
            <w:r>
              <w:rPr>
                <w:rFonts w:ascii="ＭＳ ゴシック" w:hAnsi="ＭＳ ゴシック" w:eastAsia="ＭＳ ゴシック"/>
                <w:color w:val="000000"/>
                <w:kern w:val="0"/>
                <w:u w:val="single" w:color="000000"/>
              </w:rPr>
              <w:t>　　　　　（注２）の増加</w:t>
            </w:r>
            <w:r>
              <w:rPr>
                <w:rFonts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Closing"/>
              <w:widowControl w:val="false"/>
              <w:jc w:val="left"/>
              <w:rPr/>
            </w:pPr>
            <w:r>
              <w:rPr/>
              <w:t>（表</w:t>
            </w:r>
            <w:r>
              <w:rPr/>
              <w:t>)</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3"/>
              <w:gridCol w:w="3164"/>
              <w:gridCol w:w="3024"/>
            </w:tblGrid>
            <w:tr>
              <w:trPr>
                <w:trHeight w:val="372" w:hRule="atLeast"/>
              </w:trPr>
              <w:tc>
                <w:tcPr>
                  <w:tcW w:w="3163"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overflowPunct w:val="true"/>
                    <w:ind w:left="182" w:hanging="0"/>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4"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8" w:hRule="atLeast"/>
              </w:trPr>
              <w:tc>
                <w:tcPr>
                  <w:tcW w:w="3163"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w:t>
            </w:r>
            <w:r>
              <w:rPr>
                <w:rFonts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Normal"/>
              <w:widowControl w:val="false"/>
              <w:suppressAutoHyphens w:val="true"/>
              <w:overflowPunct w:val="true"/>
              <w:ind w:left="182" w:hanging="0"/>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lang w:eastAsia="zh-TW"/>
              </w:rPr>
            </w:pPr>
            <w:r>
              <w:rPr>
                <w:rFonts w:ascii="ＭＳ ゴシック" w:hAnsi="ＭＳ ゴシック" w:eastAsia="ＭＳ ゴシック"/>
                <w:color w:val="000000"/>
                <w:kern w:val="0"/>
                <w:lang w:eastAsia="zh-TW"/>
              </w:rPr>
              <w:t>１　事業開始年月日　　　　　　　　　　　　　　　</w:t>
            </w:r>
            <w:r>
              <w:rPr>
                <w:rFonts w:ascii="ＭＳ ゴシック" w:hAnsi="ＭＳ ゴシック" w:eastAsia="ＭＳ ゴシック"/>
                <w:color w:val="000000"/>
                <w:kern w:val="0"/>
                <w:u w:val="single"/>
                <w:lang w:eastAsia="zh-TW"/>
              </w:rPr>
              <w:t>　　　年　　　月　　　日</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lang w:eastAsia="zh-TW"/>
              </w:rPr>
            </w:pPr>
            <w:r>
              <w:rPr>
                <w:rFonts w:eastAsia="ＭＳ ゴシック" w:ascii="ＭＳ ゴシック" w:hAnsi="ＭＳ ゴシック"/>
                <w:color w:val="000000"/>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２　月平均売上高営業利益率</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lang w:eastAsia="zh-TW"/>
              </w:rPr>
              <w:t>　　</w:t>
            </w:r>
            <w:r>
              <w:rPr>
                <w:rFonts w:ascii="ＭＳ ゴシック" w:hAnsi="ＭＳ ゴシック" w:eastAsia="ＭＳ ゴシック"/>
                <w:color w:val="000000"/>
                <w:kern w:val="0"/>
                <w:u w:val="single" w:color="000000"/>
                <w:lang w:eastAsia="zh-TW"/>
              </w:rPr>
              <w:t xml:space="preserve"> Ｂ－Ａ</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lang w:eastAsia="zh-TW"/>
              </w:rPr>
              <w:t xml:space="preserve">　　  Ｂ   </w:t>
            </w:r>
            <w:r>
              <w:rPr>
                <w:rFonts w:eastAsia="ＭＳ ゴシック" w:ascii="ＭＳ ゴシック" w:hAnsi="ＭＳ ゴシック"/>
                <w:color w:val="000000"/>
                <w:kern w:val="0"/>
                <w:lang w:eastAsia="zh-TW"/>
              </w:rPr>
              <w:t xml:space="preserve">×100  </w:t>
            </w:r>
            <w:r>
              <w:rPr>
                <w:rFonts w:ascii="ＭＳ ゴシック" w:hAnsi="ＭＳ ゴシック" w:eastAsia="ＭＳ ゴシック"/>
                <w:color w:val="000000"/>
                <w:kern w:val="0"/>
                <w:lang w:eastAsia="zh-TW"/>
              </w:rPr>
              <w:t>　　　　　　　　　　　　　　</w:t>
            </w:r>
            <w:r>
              <w:rPr>
                <w:rFonts w:ascii="ＭＳ ゴシック" w:hAnsi="ＭＳ ゴシック" w:eastAsia="ＭＳ ゴシック"/>
                <w:color w:val="000000"/>
                <w:kern w:val="0"/>
                <w:u w:val="single" w:color="000000"/>
                <w:lang w:eastAsia="zh-TW"/>
              </w:rPr>
              <w:t>減少率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rPr>
              <w:t>Ａ：申込時点における最近３か月間の月平均売上高営業利益率</w:t>
            </w:r>
          </w:p>
          <w:p>
            <w:pPr>
              <w:pStyle w:val="Normal"/>
              <w:widowControl w:val="false"/>
              <w:suppressAutoHyphens w:val="true"/>
              <w:overflowPunct w:val="true"/>
              <w:ind w:left="182" w:firstLine="8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年　　　月　　～　　　年　　　月）　 </w:t>
            </w:r>
            <w:r>
              <w:rPr>
                <w:rFonts w:ascii="ＭＳ ゴシック" w:hAnsi="ＭＳ ゴシック" w:eastAsia="ＭＳ ゴシック"/>
                <w:color w:val="000000"/>
                <w:kern w:val="0"/>
                <w:u w:val="single" w:color="000000"/>
              </w:rPr>
              <w:t>　　 　　　　　％</w:t>
            </w:r>
            <w:r>
              <w:rPr>
                <w:rFonts w:ascii="ＭＳ ゴシック" w:hAnsi="ＭＳ ゴシック" w:eastAsia="ＭＳ ゴシック"/>
                <w:color w:val="000000"/>
                <w:kern w:val="0"/>
              </w:rPr>
              <w:t>（注３）</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Ｂ：Ａの期間に対応する前年の３か月間の月平均売上高営業利益率</w:t>
            </w:r>
          </w:p>
          <w:p>
            <w:pPr>
              <w:pStyle w:val="Normal"/>
              <w:widowControl w:val="false"/>
              <w:suppressAutoHyphens w:val="true"/>
              <w:overflowPunct w:val="true"/>
              <w:ind w:left="182" w:firstLine="8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年　　　月　　～　　　年　　　月）　 </w:t>
            </w:r>
            <w:r>
              <w:rPr>
                <w:rFonts w:ascii="ＭＳ ゴシック" w:hAnsi="ＭＳ ゴシック" w:eastAsia="ＭＳ ゴシック"/>
                <w:color w:val="000000"/>
                <w:kern w:val="0"/>
                <w:u w:val="single" w:color="000000"/>
              </w:rPr>
              <w:t>　　 　　　　　％</w:t>
            </w:r>
            <w:r>
              <w:rPr>
                <w:rFonts w:ascii="ＭＳ ゴシック" w:hAnsi="ＭＳ ゴシック" w:eastAsia="ＭＳ ゴシック"/>
                <w:color w:val="000000"/>
                <w:kern w:val="0"/>
              </w:rPr>
              <w:t xml:space="preserve"> </w:t>
            </w:r>
            <w:r>
              <w:rPr>
                <w:rFonts w:eastAsia="ＭＳ ゴシック" w:ascii="ＭＳ ゴシック" w:hAnsi="ＭＳ ゴシック"/>
                <w:color w:val="000000"/>
                <w:kern w:val="0"/>
              </w:rPr>
              <w:t>(</w:t>
            </w:r>
            <w:r>
              <w:rPr>
                <w:rFonts w:ascii="ＭＳ ゴシック" w:hAnsi="ＭＳ ゴシック" w:eastAsia="ＭＳ ゴシック"/>
                <w:color w:val="000000"/>
                <w:kern w:val="0"/>
              </w:rPr>
              <w:t>注３）</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0"/>
        <w:ind w:left="1044" w:hanging="862"/>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uppressAutoHyphens w:val="true"/>
        <w:spacing w:lineRule="exact" w:line="240"/>
        <w:ind w:left="1044"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Normal"/>
        <w:suppressAutoHyphens w:val="true"/>
        <w:spacing w:lineRule="exact" w:line="240"/>
        <w:ind w:left="1044"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（注２）</w:t>
      </w:r>
      <w:r>
        <w:rPr>
          <w:rFonts w:ascii="ＭＳ ゴシック" w:hAnsi="ＭＳ ゴシック" w:eastAsia="ＭＳ ゴシック"/>
          <w:color w:val="000000"/>
          <w:kern w:val="0"/>
          <w:u w:val="single"/>
        </w:rPr>
        <w:t>　　　　</w:t>
      </w:r>
      <w:r>
        <w:rPr>
          <w:rFonts w:ascii="ＭＳ ゴシック" w:hAnsi="ＭＳ ゴシック" w:eastAsia="ＭＳ ゴシック"/>
          <w:color w:val="000000"/>
          <w:kern w:val="0"/>
        </w:rPr>
        <w:t>には、外的要因及び増加している費用を入れる。</w:t>
      </w:r>
    </w:p>
    <w:p>
      <w:pPr>
        <w:pStyle w:val="Normal"/>
        <w:suppressAutoHyphens w:val="true"/>
        <w:spacing w:lineRule="exact" w:line="240"/>
        <w:ind w:left="1044"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（注３）企業全体の月平均売上高営業利益率を記載。</w:t>
      </w:r>
    </w:p>
    <w:p>
      <w:pPr>
        <w:pStyle w:val="Normal"/>
        <w:suppressAutoHyphens w:val="true"/>
        <w:spacing w:lineRule="exact" w:line="240"/>
        <w:ind w:left="1412" w:hanging="12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（留意事項）</w:t>
      </w:r>
    </w:p>
    <w:p>
      <w:pPr>
        <w:pStyle w:val="ListParagraph"/>
        <w:numPr>
          <w:ilvl w:val="0"/>
          <w:numId w:val="1"/>
        </w:numPr>
        <w:suppressAutoHyphens w:val="true"/>
        <w:spacing w:lineRule="exact" w:line="240"/>
        <w:ind w:left="754" w:hanging="3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本認定とは別に、金融機関及び信用保証協会による金融上の審査があります。</w:t>
      </w:r>
    </w:p>
    <w:p>
      <w:pPr>
        <w:pStyle w:val="ListParagraph"/>
        <w:numPr>
          <w:ilvl w:val="0"/>
          <w:numId w:val="1"/>
        </w:numPr>
        <w:suppressAutoHyphens w:val="true"/>
        <w:spacing w:lineRule="exact" w:line="240"/>
        <w:ind w:left="754" w:hanging="3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CEA585C-EF72-486B-99B3-2D662ECB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699</Words>
  <Characters>702</Characters>
  <CharactersWithSpaces>1072</CharactersWithSpaces>
  <Paragraphs>33</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2025-07-10T10:57:25Z</dcterms:created>
  <dc:creator/>
  <dc:description/>
  <dc:language>ja-JP</dc:language>
  <cp:lastModifiedBy/>
  <dcterms:modified xsi:type="dcterms:W3CDTF">2025-07-10T10:57:28Z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