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bl>
      <w:tblPr>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43"/>
        <w:gridCol w:w="3342"/>
        <w:gridCol w:w="3346"/>
      </w:tblGrid>
      <w:tr>
        <w:trPr>
          <w:trHeight w:val="400" w:hRule="atLeast"/>
        </w:trPr>
        <w:tc>
          <w:tcPr>
            <w:tcW w:w="1003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ind w:left="182" w:hanging="0"/>
              <w:jc w:val="center"/>
              <w:rPr>
                <w:rFonts w:ascii="ＭＳ ゴシック" w:hAnsi="ＭＳ ゴシック" w:eastAsia="ＭＳ ゴシック"/>
              </w:rPr>
            </w:pPr>
            <w:r>
              <w:rPr>
                <w:rFonts w:ascii="ＭＳ ゴシック" w:hAnsi="ＭＳ ゴシック" w:eastAsia="ＭＳ ゴシック"/>
              </w:rPr>
              <w:t>認定権者記載欄</w:t>
            </w:r>
          </w:p>
        </w:tc>
      </w:tr>
      <w:tr>
        <w:trPr>
          <w:trHeight w:val="238" w:hRule="atLeast"/>
        </w:trPr>
        <w:tc>
          <w:tcPr>
            <w:tcW w:w="3343"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c>
          <w:tcPr>
            <w:tcW w:w="3342"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r>
      <w:tr>
        <w:trPr>
          <w:trHeight w:val="273" w:hRule="atLeast"/>
        </w:trPr>
        <w:tc>
          <w:tcPr>
            <w:tcW w:w="3343"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c>
          <w:tcPr>
            <w:tcW w:w="33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ind w:left="182" w:hanging="0"/>
              <w:jc w:val="left"/>
              <w:rPr>
                <w:rFonts w:ascii="ＭＳ ゴシック" w:hAnsi="ＭＳ ゴシック" w:eastAsia="ＭＳ ゴシック"/>
              </w:rPr>
            </w:pPr>
            <w:r>
              <w:rPr>
                <w:rFonts w:eastAsia="ＭＳ ゴシック" w:ascii="ＭＳ ゴシック" w:hAnsi="ＭＳ ゴシック"/>
              </w:rPr>
            </w:r>
          </w:p>
        </w:tc>
      </w:tr>
    </w:tbl>
    <w:p>
      <w:pPr>
        <w:pStyle w:val="Normal"/>
        <w:suppressAutoHyphens w:val="true"/>
        <w:spacing w:lineRule="exact" w:line="30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様式第５－（ハ）－②</w:t>
      </w:r>
    </w:p>
    <w:tbl>
      <w:tblPr>
        <w:tblW w:w="10149"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10149"/>
      </w:tblGrid>
      <w:tr>
        <w:trPr>
          <w:trHeight w:val="6978" w:hRule="atLeast"/>
        </w:trPr>
        <w:tc>
          <w:tcPr>
            <w:tcW w:w="10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60"/>
              <w:ind w:left="181"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ind w:left="182" w:hanging="0"/>
              <w:jc w:val="center"/>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中小企業信用保険法第２条第５項第５号の規定による認定申請書（ハ－②）</w:t>
            </w:r>
          </w:p>
          <w:p>
            <w:pPr>
              <w:pStyle w:val="Normal"/>
              <w:widowControl w:val="false"/>
              <w:suppressAutoHyphens w:val="true"/>
              <w:overflowPunct w:val="true"/>
              <w:spacing w:lineRule="auto" w:line="60"/>
              <w:ind w:left="181"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年　　月　　日</w:t>
            </w:r>
          </w:p>
          <w:p>
            <w:pPr>
              <w:pStyle w:val="Normal"/>
              <w:widowControl w:val="false"/>
              <w:suppressAutoHyphens w:val="true"/>
              <w:overflowPunct w:val="true"/>
              <w:spacing w:lineRule="atLeast" w:line="274"/>
              <w:ind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糸魚川市長 様</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申請者  </w:t>
            </w:r>
            <w:r>
              <w:rPr>
                <w:rFonts w:ascii="ＭＳ ゴシック" w:hAnsi="ＭＳ ゴシック" w:eastAsia="ＭＳ ゴシック"/>
                <w:color w:val="000000"/>
                <w:kern w:val="0"/>
                <w:u w:val="single" w:color="000000"/>
              </w:rPr>
              <w:t>住　所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sz w:val="14"/>
                <w:szCs w:val="14"/>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sz w:val="14"/>
                <w:szCs w:val="14"/>
              </w:rPr>
              <w:t>（名称及び代表者の氏名）</w:t>
            </w:r>
          </w:p>
          <w:p>
            <w:pPr>
              <w:pStyle w:val="Normal"/>
              <w:widowControl w:val="false"/>
              <w:suppressAutoHyphens w:val="true"/>
              <w:overflowPunct w:val="true"/>
              <w:spacing w:lineRule="exact" w:line="240"/>
              <w:ind w:firstLine="54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u w:val="single" w:color="000000"/>
              </w:rPr>
              <w:t xml:space="preserve">氏　名　　　　　　　　　　　　　   </w:t>
            </w:r>
          </w:p>
          <w:p>
            <w:pPr>
              <w:pStyle w:val="Normal"/>
              <w:widowControl w:val="false"/>
              <w:suppressAutoHyphens w:val="true"/>
              <w:overflowPunct w:val="true"/>
              <w:ind w:right="566" w:firstLine="210"/>
              <w:jc w:val="left"/>
              <w:textAlignment w:val="baseline"/>
              <w:rPr>
                <w:rFonts w:ascii="ＭＳ ゴシック" w:hAnsi="ＭＳ ゴシック" w:eastAsia="ＭＳ ゴシック"/>
                <w:spacing w:val="16"/>
              </w:rPr>
            </w:pPr>
            <w:r>
              <w:rPr>
                <w:rFonts w:ascii="ＭＳ ゴシック" w:hAnsi="ＭＳ ゴシック" w:eastAsia="ＭＳ ゴシック"/>
                <w:color w:val="000000"/>
                <w:kern w:val="0"/>
              </w:rPr>
              <w:t>私は、表に記載する業を営んでいるが、下記のとおり、</w:t>
            </w:r>
            <w:r>
              <w:rPr>
                <w:rFonts w:ascii="ＭＳ ゴシック" w:hAnsi="ＭＳ ゴシック" w:eastAsia="ＭＳ ゴシック"/>
                <w:color w:val="000000"/>
                <w:kern w:val="0"/>
                <w:u w:val="single"/>
              </w:rPr>
              <w:t>　　　　　　　（注２）の増加</w:t>
            </w:r>
            <w:r>
              <w:rPr>
                <w:rFonts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Closing"/>
              <w:widowControl w:val="false"/>
              <w:jc w:val="left"/>
              <w:rPr/>
            </w:pPr>
            <w:r>
              <w:rPr/>
              <w:t>（表</w:t>
            </w:r>
            <w:r>
              <w:rPr/>
              <w:t>)</w:t>
            </w:r>
          </w:p>
          <w:tbl>
            <w:tblPr>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06"/>
              <w:gridCol w:w="3306"/>
              <w:gridCol w:w="3306"/>
            </w:tblGrid>
            <w:tr>
              <w:trPr>
                <w:trHeight w:val="372" w:hRule="atLeast"/>
              </w:trPr>
              <w:tc>
                <w:tcPr>
                  <w:tcW w:w="3306"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overflowPunct w:val="true"/>
                    <w:ind w:left="182" w:hanging="0"/>
                    <w:jc w:val="center"/>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306"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3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r>
              <w:trPr>
                <w:trHeight w:val="388" w:hRule="atLeast"/>
              </w:trPr>
              <w:tc>
                <w:tcPr>
                  <w:tcW w:w="3306"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3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3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widowControl w:val="false"/>
              <w:suppressAutoHyphens w:val="true"/>
              <w:overflowPunct w:val="true"/>
              <w:ind w:firstLine="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w:t>
            </w:r>
            <w:r>
              <w:rPr>
                <w:rFonts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Normal"/>
              <w:widowControl w:val="false"/>
              <w:suppressAutoHyphens w:val="true"/>
              <w:overflowPunct w:val="true"/>
              <w:spacing w:lineRule="auto" w:line="60"/>
              <w:ind w:left="181"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ind w:left="182" w:hanging="0"/>
              <w:jc w:val="center"/>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記</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lang w:eastAsia="zh-TW"/>
              </w:rPr>
            </w:pPr>
            <w:r>
              <w:rPr>
                <w:rFonts w:eastAsia="ＭＳ ゴシック" w:ascii="ＭＳ ゴシック" w:hAnsi="ＭＳ ゴシック"/>
                <w:color w:val="000000"/>
                <w:spacing w:val="16"/>
                <w:kern w:val="0"/>
                <w:lang w:eastAsia="zh-TW"/>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spacing w:val="16"/>
                <w:kern w:val="0"/>
                <w:lang w:eastAsia="zh-TW"/>
              </w:rPr>
              <w:t>１　事業開始年月日　　　　　　　　 　　　　　　　　</w:t>
            </w:r>
            <w:r>
              <w:rPr>
                <w:rFonts w:ascii="ＭＳ ゴシック" w:hAnsi="ＭＳ ゴシック" w:eastAsia="ＭＳ ゴシック"/>
                <w:color w:val="000000"/>
                <w:spacing w:val="16"/>
                <w:kern w:val="0"/>
                <w:u w:val="single"/>
                <w:lang w:eastAsia="zh-TW"/>
              </w:rPr>
              <w:t>　　　年　　　月　　　日</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２　月平均売上高営業利益率</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lang w:eastAsia="zh-TW"/>
              </w:rPr>
              <w:t>　　</w:t>
            </w:r>
            <w:r>
              <w:rPr>
                <w:rFonts w:ascii="ＭＳ ゴシック" w:hAnsi="ＭＳ ゴシック" w:eastAsia="ＭＳ ゴシック"/>
                <w:color w:val="000000"/>
                <w:kern w:val="0"/>
                <w:u w:val="single" w:color="000000"/>
                <w:lang w:eastAsia="zh-TW"/>
              </w:rPr>
              <w:t xml:space="preserve"> </w:t>
            </w:r>
            <w:r>
              <w:rPr>
                <w:rFonts w:ascii="ＭＳ ゴシック" w:hAnsi="ＭＳ ゴシック" w:eastAsia="ＭＳ ゴシック"/>
                <w:color w:val="000000"/>
                <w:kern w:val="0"/>
                <w:u w:val="single" w:color="000000"/>
              </w:rPr>
              <w:t>Ｂ－Ａ</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rPr>
              <w:t>指定業種の減少率　　　　　　　　　％</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Ｂ   </w:t>
            </w:r>
            <w:r>
              <w:rPr>
                <w:rFonts w:eastAsia="ＭＳ ゴシック" w:ascii="ＭＳ ゴシック" w:hAnsi="ＭＳ ゴシック"/>
                <w:color w:val="000000"/>
                <w:kern w:val="0"/>
              </w:rPr>
              <w:t xml:space="preserve">×100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rPr>
              <w:t>全体の</w:t>
            </w:r>
            <w:r>
              <w:rPr>
                <w:rFonts w:ascii="ＭＳ ゴシック" w:hAnsi="ＭＳ ゴシック" w:eastAsia="ＭＳ ゴシック"/>
                <w:color w:val="000000"/>
                <w:kern w:val="0"/>
                <w:u w:val="single" w:color="000000"/>
              </w:rPr>
              <w:t>減少率　　 　　　　　　　 　％</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rPr>
              <w:t>最近３か月間における全体の売上高等に占める指定業種の売上高等の割合　　　　 　　　％</w:t>
            </w:r>
          </w:p>
          <w:p>
            <w:pPr>
              <w:pStyle w:val="Normal"/>
              <w:widowControl w:val="false"/>
              <w:suppressAutoHyphens w:val="true"/>
              <w:overflowPunct w:val="true"/>
              <w:spacing w:lineRule="auto" w:line="60"/>
              <w:ind w:left="181"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Ａ：申込時点における最近３か月間の月平均売上高営業利益率</w:t>
            </w:r>
          </w:p>
          <w:p>
            <w:pPr>
              <w:pStyle w:val="Normal"/>
              <w:widowControl w:val="false"/>
              <w:suppressAutoHyphens w:val="true"/>
              <w:overflowPunct w:val="true"/>
              <w:ind w:left="182" w:firstLine="84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年　　　月　　～　　　年　　　月）</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指定業種の月平均売上高営業利益率　　　　　　　％</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rPr>
              <w:t>全体の月平均売上高営業利益率</w:t>
            </w:r>
            <w:r>
              <w:rPr>
                <w:rFonts w:ascii="ＭＳ ゴシック" w:hAnsi="ＭＳ ゴシック" w:eastAsia="ＭＳ ゴシック"/>
                <w:color w:val="000000"/>
                <w:kern w:val="0"/>
                <w:u w:val="single" w:color="000000"/>
              </w:rPr>
              <w:t>　　　　  　　　　％</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Ｂ：Ａの期間に対応する前年の３か月間の月平均売上高営業利益率</w:t>
            </w:r>
          </w:p>
          <w:p>
            <w:pPr>
              <w:pStyle w:val="Normal"/>
              <w:widowControl w:val="false"/>
              <w:suppressAutoHyphens w:val="true"/>
              <w:overflowPunct w:val="true"/>
              <w:ind w:left="182" w:firstLine="8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rPr>
              <w:t>指定業種の月平均売上高営業利益率　　　　　　　％</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rPr>
              <w:t>全体の月平均売上高営業利益率</w:t>
            </w:r>
            <w:r>
              <w:rPr>
                <w:rFonts w:ascii="ＭＳ ゴシック" w:hAnsi="ＭＳ ゴシック" w:eastAsia="ＭＳ ゴシック"/>
                <w:color w:val="000000"/>
                <w:kern w:val="0"/>
                <w:u w:val="single" w:color="000000"/>
              </w:rPr>
              <w:t>　　　　  　　　　％</w:t>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「商第　　　　　号」</w:t>
            </w:r>
          </w:p>
          <w:p>
            <w:pPr>
              <w:pStyle w:val="Normal"/>
              <w:widowControl w:val="false"/>
              <w:suppressAutoHyphens w:val="true"/>
              <w:overflowPunct w:val="true"/>
              <w:spacing w:lineRule="atLeast" w:line="274"/>
              <w:ind w:firstLine="24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令和　　　年　　　月　　　日</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申請のとおり、相違ないことを認定します。</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（注）信用保証協会への申込期間</w:t>
            </w:r>
          </w:p>
          <w:p>
            <w:pPr>
              <w:pStyle w:val="Normal"/>
              <w:widowControl w:val="false"/>
              <w:suppressAutoHyphens w:val="true"/>
              <w:overflowPunct w:val="true"/>
              <w:spacing w:lineRule="atLeast" w:line="274"/>
              <w:ind w:firstLine="72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年　　　月　　　日から　　　　年　　　月　　　日まで</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w:t>
            </w:r>
          </w:p>
          <w:p>
            <w:pPr>
              <w:pStyle w:val="Normal"/>
              <w:widowControl w:val="false"/>
              <w:ind w:firstLine="5460"/>
              <w:rPr>
                <w:rFonts w:ascii="ＭＳ ゴシック" w:hAnsi="ＭＳ ゴシック" w:eastAsia="ＭＳ ゴシック"/>
                <w:sz w:val="24"/>
              </w:rPr>
            </w:pPr>
            <w:r>
              <w:rPr>
                <w:rFonts w:ascii="ＭＳ 明朝" w:hAnsi="ＭＳ 明朝"/>
                <w:szCs w:val="21"/>
              </w:rPr>
              <w:t>糸魚川市長　　久保田　郁夫　</w:t>
            </w:r>
            <w:r>
              <w:rPr>
                <w:rFonts w:ascii="ＭＳ 明朝" w:hAnsi="ＭＳ 明朝"/>
                <w:color w:val="808080"/>
                <w:szCs w:val="21"/>
              </w:rPr>
              <w:t>　</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suppressAutoHyphens w:val="true"/>
        <w:spacing w:lineRule="exact" w:line="240"/>
        <w:ind w:left="750" w:hanging="540"/>
        <w:jc w:val="left"/>
        <w:textAlignment w:val="baseline"/>
        <w:rPr>
          <w:rFonts w:ascii="ＭＳ ゴシック" w:hAnsi="ＭＳ ゴシック" w:eastAsia="ＭＳ ゴシック"/>
          <w:color w:val="000000"/>
          <w:kern w:val="0"/>
          <w:sz w:val="18"/>
          <w:szCs w:val="18"/>
        </w:rPr>
      </w:pPr>
      <w:r>
        <w:rPr>
          <w:rFonts w:ascii="ＭＳ ゴシック" w:hAnsi="ＭＳ ゴシック" w:eastAsia="ＭＳ ゴシック"/>
          <w:color w:val="000000"/>
          <w:kern w:val="0"/>
          <w:sz w:val="18"/>
          <w:szCs w:val="18"/>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pPr>
        <w:pStyle w:val="Normal"/>
        <w:suppressAutoHyphens w:val="true"/>
        <w:spacing w:lineRule="exact" w:line="240"/>
        <w:ind w:left="1044" w:hanging="862"/>
        <w:jc w:val="left"/>
        <w:textAlignment w:val="baseline"/>
        <w:rPr>
          <w:rFonts w:ascii="ＭＳ ゴシック" w:hAnsi="ＭＳ ゴシック" w:eastAsia="ＭＳ ゴシック"/>
          <w:color w:val="000000"/>
          <w:kern w:val="0"/>
          <w:sz w:val="18"/>
          <w:szCs w:val="18"/>
        </w:rPr>
      </w:pPr>
      <w:r>
        <w:rPr>
          <w:rFonts w:ascii="ＭＳ ゴシック" w:hAnsi="ＭＳ ゴシック" w:eastAsia="ＭＳ ゴシック"/>
          <w:color w:val="000000"/>
          <w:kern w:val="0"/>
          <w:sz w:val="18"/>
          <w:szCs w:val="18"/>
        </w:rPr>
        <w:t>（注２）</w:t>
      </w:r>
      <w:r>
        <w:rPr>
          <w:rFonts w:ascii="ＭＳ ゴシック" w:hAnsi="ＭＳ ゴシック" w:eastAsia="ＭＳ ゴシック"/>
          <w:color w:val="000000"/>
          <w:kern w:val="0"/>
          <w:sz w:val="18"/>
          <w:szCs w:val="18"/>
          <w:u w:val="single"/>
        </w:rPr>
        <w:t>　　　　</w:t>
      </w:r>
      <w:r>
        <w:rPr>
          <w:rFonts w:ascii="ＭＳ ゴシック" w:hAnsi="ＭＳ ゴシック" w:eastAsia="ＭＳ ゴシック"/>
          <w:color w:val="000000"/>
          <w:kern w:val="0"/>
          <w:sz w:val="18"/>
          <w:szCs w:val="18"/>
        </w:rPr>
        <w:t>には、外的要因及び増加している費用を入れる。</w:t>
      </w:r>
    </w:p>
    <w:p>
      <w:pPr>
        <w:pStyle w:val="Normal"/>
        <w:suppressAutoHyphens w:val="true"/>
        <w:spacing w:lineRule="exact" w:line="240"/>
        <w:ind w:left="1412" w:hanging="123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（留意事項）</w:t>
      </w:r>
    </w:p>
    <w:p>
      <w:pPr>
        <w:pStyle w:val="ListParagraph"/>
        <w:numPr>
          <w:ilvl w:val="0"/>
          <w:numId w:val="1"/>
        </w:numPr>
        <w:suppressAutoHyphens w:val="true"/>
        <w:spacing w:lineRule="exact" w:line="240"/>
        <w:ind w:left="754" w:hanging="36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本認定とは別に、金融機関及び信用保証協会による金融上の審査があります。</w:t>
      </w:r>
    </w:p>
    <w:p>
      <w:pPr>
        <w:pStyle w:val="ListParagraph"/>
        <w:numPr>
          <w:ilvl w:val="0"/>
          <w:numId w:val="1"/>
        </w:numPr>
        <w:suppressAutoHyphens w:val="true"/>
        <w:spacing w:lineRule="exact" w:line="240"/>
        <w:ind w:left="754" w:hanging="360"/>
        <w:jc w:val="left"/>
        <w:textAlignment w:val="baseline"/>
        <w:rPr>
          <w:rFonts w:ascii="ＭＳ ゴシック" w:hAnsi="ＭＳ ゴシック" w:eastAsia="ＭＳ ゴシック"/>
          <w:sz w:val="18"/>
          <w:szCs w:val="18"/>
        </w:rPr>
      </w:pPr>
      <w:r>
        <w:rPr>
          <w:rFonts w:ascii="ＭＳ ゴシック" w:hAnsi="ＭＳ ゴシック" w:eastAsia="ＭＳ ゴシック"/>
          <w:color w:val="000000"/>
          <w:kern w:val="0"/>
          <w:sz w:val="18"/>
          <w:szCs w:val="18"/>
        </w:rPr>
        <w:t>市町村長又は特別区長から認定を受けた日から３０日以内に金融機関又は信用保証協会に対して、保証の申込みを行うことが必要です。</w:t>
      </w:r>
    </w:p>
    <w:sectPr>
      <w:footerReference w:type="default" r:id="rId2"/>
      <w:type w:val="nextPage"/>
      <w:pgSz w:w="11906" w:h="16838"/>
      <w:pgMar w:left="1134" w:right="1134" w:gutter="0" w:header="0" w:top="1134" w:footer="51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pPr>
    <w:r>
      <w:rPr/>
    </w:r>
  </w:p>
  <w:p>
    <w:pPr>
      <w:pStyle w:val="Style28"/>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570" w:hanging="360"/>
      </w:pPr>
      <w:rPr/>
    </w:lvl>
    <w:lvl w:ilvl="1">
      <w:start w:val="1"/>
      <w:numFmt w:val="aiueoFullWidth"/>
      <w:lvlText w:val="(%2)"/>
      <w:lvlJc w:val="left"/>
      <w:pPr>
        <w:tabs>
          <w:tab w:val="num" w:pos="0"/>
        </w:tabs>
        <w:ind w:left="1090" w:hanging="440"/>
      </w:pPr>
      <w:rPr/>
    </w:lvl>
    <w:lvl w:ilvl="2">
      <w:start w:val="1"/>
      <w:numFmt w:val="decimalEnclosedCircle"/>
      <w:lvlText w:val="%3"/>
      <w:lvlJc w:val="left"/>
      <w:pPr>
        <w:tabs>
          <w:tab w:val="num" w:pos="0"/>
        </w:tabs>
        <w:ind w:left="1530" w:hanging="440"/>
      </w:pPr>
      <w:rPr/>
    </w:lvl>
    <w:lvl w:ilvl="3">
      <w:start w:val="1"/>
      <w:numFmt w:val="decimal"/>
      <w:lvlText w:val="%4."/>
      <w:lvlJc w:val="left"/>
      <w:pPr>
        <w:tabs>
          <w:tab w:val="num" w:pos="0"/>
        </w:tabs>
        <w:ind w:left="1970" w:hanging="440"/>
      </w:pPr>
      <w:rPr/>
    </w:lvl>
    <w:lvl w:ilvl="4">
      <w:start w:val="1"/>
      <w:numFmt w:val="aiueoFullWidth"/>
      <w:lvlText w:val="(%5)"/>
      <w:lvlJc w:val="left"/>
      <w:pPr>
        <w:tabs>
          <w:tab w:val="num" w:pos="0"/>
        </w:tabs>
        <w:ind w:left="2410" w:hanging="440"/>
      </w:pPr>
      <w:rPr/>
    </w:lvl>
    <w:lvl w:ilvl="5">
      <w:start w:val="1"/>
      <w:numFmt w:val="decimalEnclosedCircle"/>
      <w:lvlText w:val="%6"/>
      <w:lvlJc w:val="left"/>
      <w:pPr>
        <w:tabs>
          <w:tab w:val="num" w:pos="0"/>
        </w:tabs>
        <w:ind w:left="2850" w:hanging="440"/>
      </w:pPr>
      <w:rPr/>
    </w:lvl>
    <w:lvl w:ilvl="6">
      <w:start w:val="1"/>
      <w:numFmt w:val="decimal"/>
      <w:lvlText w:val="%7."/>
      <w:lvlJc w:val="left"/>
      <w:pPr>
        <w:tabs>
          <w:tab w:val="num" w:pos="0"/>
        </w:tabs>
        <w:ind w:left="3290" w:hanging="440"/>
      </w:pPr>
      <w:rPr/>
    </w:lvl>
    <w:lvl w:ilvl="7">
      <w:start w:val="1"/>
      <w:numFmt w:val="aiueoFullWidth"/>
      <w:lvlText w:val="(%8)"/>
      <w:lvlJc w:val="left"/>
      <w:pPr>
        <w:tabs>
          <w:tab w:val="num" w:pos="0"/>
        </w:tabs>
        <w:ind w:left="3730" w:hanging="440"/>
      </w:pPr>
      <w:rPr/>
    </w:lvl>
    <w:lvl w:ilvl="8">
      <w:start w:val="1"/>
      <w:numFmt w:val="decimalEnclosedCircle"/>
      <w:lvlText w:val="%9"/>
      <w:lvlJc w:val="left"/>
      <w:pPr>
        <w:tabs>
          <w:tab w:val="num" w:pos="0"/>
        </w:tabs>
        <w:ind w:left="4170" w:hanging="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8d5"/>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link w:val="11"/>
    <w:qFormat/>
    <w:rsid w:val="000f6d83"/>
    <w:pPr>
      <w:keepNext w:val="true"/>
      <w:outlineLvl w:val="0"/>
    </w:pPr>
    <w:rPr>
      <w:rFonts w:ascii="Arial" w:hAnsi="Arial" w:eastAsia="ＭＳ ゴシック" w:asciiTheme="majorHAnsi" w:eastAsiaTheme="majorEastAsia" w:hAnsiTheme="majorHAnsi"/>
      <w:sz w:val="24"/>
      <w:szCs w:val="20"/>
    </w:rPr>
  </w:style>
  <w:style w:type="paragraph" w:styleId="2">
    <w:name w:val="Heading 2"/>
    <w:basedOn w:val="Normal"/>
    <w:next w:val="Normal"/>
    <w:link w:val="21"/>
    <w:qFormat/>
    <w:rsid w:val="000f6d83"/>
    <w:pPr>
      <w:keepNext w:val="true"/>
      <w:outlineLvl w:val="1"/>
    </w:pPr>
    <w:rPr>
      <w:rFonts w:ascii="Arial" w:hAnsi="Arial" w:eastAsia="ＭＳ ゴシック" w:asciiTheme="majorHAnsi" w:eastAsiaTheme="majorEastAsia" w:hAnsiTheme="majorHAnsi"/>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155c"/>
    <w:rPr/>
  </w:style>
  <w:style w:type="character" w:styleId="Annotationreference">
    <w:name w:val="annotation reference"/>
    <w:semiHidden/>
    <w:qFormat/>
    <w:rsid w:val="0022657e"/>
    <w:rPr>
      <w:sz w:val="18"/>
      <w:szCs w:val="18"/>
    </w:rPr>
  </w:style>
  <w:style w:type="character" w:styleId="Style7" w:customStyle="1">
    <w:name w:val="ヘッダー (文字)"/>
    <w:qFormat/>
    <w:locked/>
    <w:rsid w:val="00d37176"/>
    <w:rPr>
      <w:kern w:val="2"/>
      <w:sz w:val="21"/>
      <w:szCs w:val="24"/>
    </w:rPr>
  </w:style>
  <w:style w:type="character" w:styleId="Style8" w:customStyle="1">
    <w:name w:val="フッター (文字)"/>
    <w:uiPriority w:val="99"/>
    <w:qFormat/>
    <w:locked/>
    <w:rsid w:val="00d37176"/>
    <w:rPr>
      <w:kern w:val="2"/>
      <w:sz w:val="21"/>
      <w:szCs w:val="24"/>
    </w:rPr>
  </w:style>
  <w:style w:type="character" w:styleId="Style9" w:customStyle="1">
    <w:name w:val="日付 (文字)"/>
    <w:link w:val="Date"/>
    <w:qFormat/>
    <w:rsid w:val="00982d6c"/>
    <w:rPr>
      <w:kern w:val="2"/>
      <w:sz w:val="21"/>
      <w:szCs w:val="24"/>
    </w:rPr>
  </w:style>
  <w:style w:type="character" w:styleId="Style10" w:customStyle="1">
    <w:name w:val="書式なし (文字)"/>
    <w:link w:val="PlainText"/>
    <w:qFormat/>
    <w:rsid w:val="004676c1"/>
    <w:rPr>
      <w:rFonts w:ascii="ＭＳ ゴシック" w:hAnsi="ＭＳ ゴシック" w:eastAsia="ＭＳ ゴシック" w:cs="Courier New"/>
      <w:kern w:val="2"/>
      <w:szCs w:val="21"/>
    </w:rPr>
  </w:style>
  <w:style w:type="character" w:styleId="Style11" w:customStyle="1">
    <w:name w:val="コメント文字列 (文字)"/>
    <w:basedOn w:val="DefaultParagraphFont"/>
    <w:link w:val="Annotationtext"/>
    <w:qFormat/>
    <w:rsid w:val="00be7acf"/>
    <w:rPr>
      <w:kern w:val="2"/>
      <w:sz w:val="21"/>
      <w:szCs w:val="24"/>
    </w:rPr>
  </w:style>
  <w:style w:type="character" w:styleId="Style12" w:customStyle="1">
    <w:name w:val="記 (文字)"/>
    <w:basedOn w:val="DefaultParagraphFont"/>
    <w:link w:val="NoteHeading"/>
    <w:qFormat/>
    <w:rsid w:val="0002103d"/>
    <w:rPr>
      <w:rFonts w:ascii="ＭＳ ゴシック" w:hAnsi="ＭＳ ゴシック" w:eastAsia="ＭＳ ゴシック" w:cs="ＭＳ ゴシック"/>
      <w:color w:val="000000"/>
      <w:sz w:val="21"/>
      <w:szCs w:val="21"/>
    </w:rPr>
  </w:style>
  <w:style w:type="character" w:styleId="Style13" w:customStyle="1">
    <w:name w:val="結語 (文字)"/>
    <w:basedOn w:val="DefaultParagraphFont"/>
    <w:link w:val="Closing"/>
    <w:qFormat/>
    <w:rsid w:val="0002103d"/>
    <w:rPr>
      <w:rFonts w:ascii="ＭＳ ゴシック" w:hAnsi="ＭＳ ゴシック" w:eastAsia="ＭＳ ゴシック" w:cs="ＭＳ ゴシック"/>
      <w:color w:val="000000"/>
      <w:sz w:val="21"/>
      <w:szCs w:val="21"/>
    </w:rPr>
  </w:style>
  <w:style w:type="character" w:styleId="11" w:customStyle="1">
    <w:name w:val="見出し 1 (文字)"/>
    <w:basedOn w:val="DefaultParagraphFont"/>
    <w:qFormat/>
    <w:rsid w:val="000f6d83"/>
    <w:rPr>
      <w:rFonts w:ascii="Arial" w:hAnsi="Arial" w:eastAsia="ＭＳ ゴシック" w:asciiTheme="majorHAnsi" w:eastAsiaTheme="majorEastAsia" w:hAnsiTheme="majorHAnsi"/>
      <w:kern w:val="2"/>
      <w:sz w:val="24"/>
    </w:rPr>
  </w:style>
  <w:style w:type="character" w:styleId="21" w:customStyle="1">
    <w:name w:val="見出し 2 (文字)"/>
    <w:basedOn w:val="DefaultParagraphFont"/>
    <w:qFormat/>
    <w:rsid w:val="000f6d83"/>
    <w:rPr>
      <w:rFonts w:ascii="Arial" w:hAnsi="Arial" w:eastAsia="ＭＳ ゴシック" w:asciiTheme="majorHAnsi" w:eastAsiaTheme="majorEastAsia" w:hAnsiTheme="majorHAnsi"/>
      <w:kern w:val="2"/>
      <w:sz w:val="21"/>
    </w:rPr>
  </w:style>
  <w:style w:type="character" w:styleId="Style14" w:customStyle="1">
    <w:name w:val="吹き出し (文字)"/>
    <w:basedOn w:val="DefaultParagraphFont"/>
    <w:link w:val="BalloonText"/>
    <w:qFormat/>
    <w:rsid w:val="000f6d83"/>
    <w:rPr>
      <w:rFonts w:ascii="Arial" w:hAnsi="Arial" w:eastAsia="ＭＳ ゴシック"/>
      <w:kern w:val="2"/>
      <w:sz w:val="18"/>
      <w:szCs w:val="18"/>
    </w:rPr>
  </w:style>
  <w:style w:type="character" w:styleId="PlaceholderText">
    <w:name w:val="Placeholder Text"/>
    <w:basedOn w:val="DefaultParagraphFont"/>
    <w:qFormat/>
    <w:rsid w:val="000f6d83"/>
    <w:rPr>
      <w:color w:val="808080"/>
    </w:rPr>
  </w:style>
  <w:style w:type="character" w:styleId="Style15" w:customStyle="1">
    <w:name w:val="コメント内容 (文字)"/>
    <w:basedOn w:val="Style11"/>
    <w:link w:val="Annotationsubject"/>
    <w:qFormat/>
    <w:rsid w:val="000f6d83"/>
    <w:rPr>
      <w:b/>
      <w:bCs/>
      <w:kern w:val="2"/>
      <w:sz w:val="21"/>
      <w:szCs w:val="24"/>
    </w:rPr>
  </w:style>
  <w:style w:type="character" w:styleId="Style16">
    <w:name w:val="脚注番号"/>
    <w:basedOn w:val="DefaultParagraphFont"/>
    <w:semiHidden/>
    <w:qFormat/>
    <w:rsid w:val="000f6d83"/>
    <w:rPr>
      <w:vertAlign w:val="superscript"/>
    </w:rPr>
  </w:style>
  <w:style w:type="character" w:styleId="Style17">
    <w:name w:val="Footnote Reference"/>
    <w:rPr>
      <w:vertAlign w:val="superscript"/>
    </w:rPr>
  </w:style>
  <w:style w:type="character" w:styleId="Style18">
    <w:name w:val="文末脚注番号"/>
    <w:basedOn w:val="DefaultParagraphFont"/>
    <w:semiHidden/>
    <w:qFormat/>
    <w:rsid w:val="000f6d83"/>
    <w:rPr>
      <w:vertAlign w:val="superscript"/>
    </w:rPr>
  </w:style>
  <w:style w:type="character" w:styleId="Style19">
    <w:name w:val="Endnote Reference"/>
    <w:rPr>
      <w:vertAlign w:val="superscript"/>
    </w:rPr>
  </w:style>
  <w:style w:type="character" w:styleId="P" w:customStyle="1">
    <w:name w:val="p"/>
    <w:basedOn w:val="DefaultParagraphFont"/>
    <w:qFormat/>
    <w:rsid w:val="000f6d83"/>
    <w:rPr/>
  </w:style>
  <w:style w:type="character" w:styleId="Style20">
    <w:name w:val="Hyperlink"/>
    <w:basedOn w:val="DefaultParagraphFont"/>
    <w:unhideWhenUsed/>
    <w:rsid w:val="009b1432"/>
    <w:rPr>
      <w:color w:val="0000FF" w:themeColor="hyperlink"/>
      <w:u w:val="single"/>
    </w:rPr>
  </w:style>
  <w:style w:type="character" w:styleId="12" w:customStyle="1">
    <w:name w:val="未解決のメンション1"/>
    <w:basedOn w:val="DefaultParagraphFont"/>
    <w:uiPriority w:val="99"/>
    <w:semiHidden/>
    <w:unhideWhenUsed/>
    <w:qFormat/>
    <w:rsid w:val="009b1432"/>
    <w:rPr>
      <w:color w:val="605E5C"/>
      <w:shd w:fill="E1DFDD" w:val="clear"/>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rPr>
  </w:style>
  <w:style w:type="paragraph" w:styleId="BalloonText">
    <w:name w:val="Balloon Text"/>
    <w:basedOn w:val="Normal"/>
    <w:link w:val="Style14"/>
    <w:semiHidden/>
    <w:qFormat/>
    <w:rsid w:val="00461cee"/>
    <w:pPr/>
    <w:rPr>
      <w:rFonts w:ascii="Arial" w:hAnsi="Arial" w:eastAsia="ＭＳ ゴシック"/>
      <w:sz w:val="18"/>
      <w:szCs w:val="18"/>
    </w:rPr>
  </w:style>
  <w:style w:type="paragraph" w:styleId="Style26">
    <w:name w:val="ヘッダーとフッター"/>
    <w:basedOn w:val="Normal"/>
    <w:qFormat/>
    <w:pPr/>
    <w:rPr/>
  </w:style>
  <w:style w:type="paragraph" w:styleId="Style27">
    <w:name w:val="Header"/>
    <w:basedOn w:val="Normal"/>
    <w:link w:val="Style7"/>
    <w:rsid w:val="0027155c"/>
    <w:pPr>
      <w:tabs>
        <w:tab w:val="clear" w:pos="840"/>
        <w:tab w:val="center" w:pos="4252" w:leader="none"/>
        <w:tab w:val="right" w:pos="8504" w:leader="none"/>
      </w:tabs>
      <w:snapToGrid w:val="false"/>
    </w:pPr>
    <w:rPr/>
  </w:style>
  <w:style w:type="paragraph" w:styleId="Style28">
    <w:name w:val="Footer"/>
    <w:basedOn w:val="Normal"/>
    <w:link w:val="Style8"/>
    <w:uiPriority w:val="99"/>
    <w:rsid w:val="0027155c"/>
    <w:pPr>
      <w:tabs>
        <w:tab w:val="clear" w:pos="840"/>
        <w:tab w:val="center" w:pos="4252" w:leader="none"/>
        <w:tab w:val="right" w:pos="8504" w:leader="none"/>
      </w:tabs>
      <w:snapToGrid w:val="false"/>
    </w:pPr>
    <w:rPr/>
  </w:style>
  <w:style w:type="paragraph" w:styleId="Annotationtext">
    <w:name w:val="annotation text"/>
    <w:basedOn w:val="Normal"/>
    <w:link w:val="Style11"/>
    <w:semiHidden/>
    <w:qFormat/>
    <w:rsid w:val="0022657e"/>
    <w:pPr>
      <w:jc w:val="left"/>
    </w:pPr>
    <w:rPr/>
  </w:style>
  <w:style w:type="paragraph" w:styleId="Annotationsubject">
    <w:name w:val="annotation subject"/>
    <w:basedOn w:val="Annotationtext"/>
    <w:next w:val="Annotationtext"/>
    <w:link w:val="Style15"/>
    <w:semiHidden/>
    <w:qFormat/>
    <w:rsid w:val="0022657e"/>
    <w:pPr/>
    <w:rPr>
      <w:b/>
      <w:bCs/>
    </w:rPr>
  </w:style>
  <w:style w:type="paragraph" w:styleId="ListParagraph">
    <w:name w:val="List Paragraph"/>
    <w:basedOn w:val="Normal"/>
    <w:qFormat/>
    <w:rsid w:val="00d70ad1"/>
    <w:pPr>
      <w:ind w:left="840" w:hanging="0"/>
    </w:pPr>
    <w:rPr>
      <w:szCs w:val="22"/>
    </w:rPr>
  </w:style>
  <w:style w:type="paragraph" w:styleId="Date">
    <w:name w:val="Date"/>
    <w:basedOn w:val="Normal"/>
    <w:next w:val="Normal"/>
    <w:link w:val="Style9"/>
    <w:qFormat/>
    <w:rsid w:val="00982d6c"/>
    <w:pPr/>
    <w:rPr/>
  </w:style>
  <w:style w:type="paragraph" w:styleId="PlainText">
    <w:name w:val="Plain Text"/>
    <w:basedOn w:val="Normal"/>
    <w:link w:val="Style10"/>
    <w:unhideWhenUsed/>
    <w:qFormat/>
    <w:rsid w:val="004676c1"/>
    <w:pPr>
      <w:jc w:val="left"/>
    </w:pPr>
    <w:rPr>
      <w:rFonts w:ascii="ＭＳ ゴシック" w:hAnsi="ＭＳ ゴシック" w:eastAsia="ＭＳ ゴシック"/>
      <w:sz w:val="20"/>
      <w:szCs w:val="21"/>
    </w:rPr>
  </w:style>
  <w:style w:type="paragraph" w:styleId="Revision">
    <w:name w:val="Revision"/>
    <w:qFormat/>
    <w:rsid w:val="000a465f"/>
    <w:pPr>
      <w:widowControl/>
      <w:bidi w:val="0"/>
      <w:spacing w:before="0" w:after="0"/>
      <w:jc w:val="left"/>
    </w:pPr>
    <w:rPr>
      <w:rFonts w:ascii="Century" w:hAnsi="Century" w:eastAsia="ＭＳ 明朝" w:cs="Times New Roman"/>
      <w:color w:val="auto"/>
      <w:kern w:val="2"/>
      <w:sz w:val="21"/>
      <w:szCs w:val="24"/>
      <w:lang w:val="en-US" w:eastAsia="ja-JP" w:bidi="ar-SA"/>
    </w:rPr>
  </w:style>
  <w:style w:type="paragraph" w:styleId="NoteHeading">
    <w:name w:val="Note Heading"/>
    <w:basedOn w:val="Normal"/>
    <w:next w:val="Normal"/>
    <w:link w:val="Style12"/>
    <w:qFormat/>
    <w:rsid w:val="0002103d"/>
    <w:pPr>
      <w:jc w:val="center"/>
    </w:pPr>
    <w:rPr>
      <w:rFonts w:ascii="ＭＳ ゴシック" w:hAnsi="ＭＳ ゴシック" w:eastAsia="ＭＳ ゴシック" w:cs="ＭＳ ゴシック"/>
      <w:color w:val="000000"/>
      <w:kern w:val="0"/>
      <w:szCs w:val="21"/>
    </w:rPr>
  </w:style>
  <w:style w:type="paragraph" w:styleId="Closing">
    <w:name w:val="Closing"/>
    <w:basedOn w:val="Normal"/>
    <w:link w:val="Style13"/>
    <w:qFormat/>
    <w:rsid w:val="0002103d"/>
    <w:pPr>
      <w:jc w:val="right"/>
    </w:pPr>
    <w:rPr>
      <w:rFonts w:ascii="ＭＳ ゴシック" w:hAnsi="ＭＳ ゴシック" w:eastAsia="ＭＳ ゴシック" w:cs="ＭＳ ゴシック"/>
      <w:color w:val="000000"/>
      <w:kern w:val="0"/>
      <w:szCs w:val="21"/>
    </w:rPr>
  </w:style>
  <w:style w:type="paragraph" w:styleId="Style29">
    <w:name w:val="Index Heading"/>
    <w:basedOn w:val="Style21"/>
    <w:pPr/>
    <w:rPr/>
  </w:style>
  <w:style w:type="paragraph" w:styleId="Style30">
    <w:name w:val="TOC Heading"/>
    <w:basedOn w:val="1"/>
    <w:next w:val="Normal"/>
    <w:qFormat/>
    <w:rsid w:val="000f6d83"/>
    <w:pPr>
      <w:outlineLvl w:val="9"/>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d003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3b5a34e4-c925-442a-8678-f4e3309d8ee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9547f46b-086e-40f6-b7e9-9ad4866360cd"/>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CEA585C-EF72-486B-99B3-2D662ECB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LibreOffice/7.5.0.3$Windows_X86_64 LibreOffice_project/c21113d003cd3efa8c53188764377a8272d9d6de</Application>
  <AppVersion>15.0000</AppVersion>
  <Pages>1</Pages>
  <Words>796</Words>
  <Characters>799</Characters>
  <CharactersWithSpaces>1329</CharactersWithSpaces>
  <Paragraphs>37</Paragraphs>
  <Company>METI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2025-07-10T10:57:37Z</dcterms:created>
  <dc:creator/>
  <dc:description/>
  <dc:language>ja-JP</dc:language>
  <cp:lastModifiedBy/>
  <dcterms:modified xsi:type="dcterms:W3CDTF">2025-07-10T10:57:40Z</dcterms:modified>
  <cp:revision>2</cp:revision>
  <dc:subject/>
  <dc:title>181128_ＳＮ照会回答事例集（案）ｒｒ.docx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